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E6FA" w14:textId="77777777" w:rsidR="008E545A" w:rsidRDefault="000B179E">
      <w:pPr>
        <w:spacing w:line="400" w:lineRule="exact"/>
        <w:jc w:val="center"/>
        <w:rPr>
          <w:rFonts w:eastAsia="黑体"/>
          <w:sz w:val="32"/>
          <w:szCs w:val="20"/>
        </w:rPr>
      </w:pPr>
      <w:r>
        <w:rPr>
          <w:rFonts w:eastAsia="黑体"/>
          <w:sz w:val="32"/>
          <w:szCs w:val="20"/>
        </w:rPr>
        <w:t>Cox2 Inhibition Ameliorates Seizure Susceptibility in a Mouse Model of Autosomal Dominant Lateral Temporal Epilepsy</w:t>
      </w:r>
      <w:r>
        <w:commentReference w:id="0"/>
      </w:r>
    </w:p>
    <w:p w14:paraId="04F2E3E9" w14:textId="77777777" w:rsidR="008E545A" w:rsidRDefault="000B179E">
      <w:pPr>
        <w:spacing w:line="720" w:lineRule="auto"/>
        <w:jc w:val="center"/>
        <w:rPr>
          <w:szCs w:val="20"/>
        </w:rPr>
      </w:pPr>
      <w:r>
        <w:rPr>
          <w:szCs w:val="20"/>
        </w:rPr>
        <w:t xml:space="preserve">Lin Zhou, Liang Zhou, Li-Da </w:t>
      </w:r>
      <w:proofErr w:type="spellStart"/>
      <w:r>
        <w:rPr>
          <w:szCs w:val="20"/>
        </w:rPr>
        <w:t>Su</w:t>
      </w:r>
      <w:proofErr w:type="spellEnd"/>
      <w:r>
        <w:rPr>
          <w:szCs w:val="20"/>
        </w:rPr>
        <w:t xml:space="preserve">, Sheng-Long Cao, </w:t>
      </w:r>
      <w:proofErr w:type="spellStart"/>
      <w:r>
        <w:rPr>
          <w:szCs w:val="20"/>
        </w:rPr>
        <w:t>Ya</w:t>
      </w:r>
      <w:proofErr w:type="spellEnd"/>
      <w:r>
        <w:rPr>
          <w:szCs w:val="20"/>
        </w:rPr>
        <w:t xml:space="preserve">-Jun </w:t>
      </w:r>
      <w:proofErr w:type="spellStart"/>
      <w:r>
        <w:rPr>
          <w:szCs w:val="20"/>
        </w:rPr>
        <w:t>Xie</w:t>
      </w:r>
      <w:proofErr w:type="spellEnd"/>
      <w:r>
        <w:rPr>
          <w:szCs w:val="20"/>
        </w:rPr>
        <w:t>, Ying Shen</w:t>
      </w:r>
      <w:r>
        <w:commentReference w:id="1"/>
      </w:r>
    </w:p>
    <w:p w14:paraId="751E0203" w14:textId="77777777" w:rsidR="008E545A" w:rsidRDefault="000B179E">
      <w:pPr>
        <w:pStyle w:val="Default"/>
        <w:spacing w:beforeLines="50" w:before="156" w:line="0" w:lineRule="auto"/>
        <w:jc w:val="both"/>
      </w:pPr>
      <w:r>
        <w:rPr>
          <w:rFonts w:ascii="Times New Roman" w:cs="Times New Roman"/>
          <w:b/>
          <w:szCs w:val="30"/>
        </w:rPr>
        <w:t>Abstract</w:t>
      </w:r>
      <w:r>
        <w:rPr>
          <w:b/>
          <w:szCs w:val="30"/>
        </w:rPr>
        <w:t>:</w:t>
      </w:r>
      <w:r>
        <w:t xml:space="preserve"> </w:t>
      </w:r>
      <w:r>
        <w:commentReference w:id="2"/>
      </w:r>
    </w:p>
    <w:p w14:paraId="1B4018EA" w14:textId="77777777" w:rsidR="008E545A" w:rsidRDefault="000B179E">
      <w:pPr>
        <w:pStyle w:val="Default"/>
        <w:spacing w:line="20" w:lineRule="atLeast"/>
        <w:jc w:val="both"/>
        <w:rPr>
          <w:rFonts w:ascii="Times New Roman" w:eastAsia="宋体" w:cs="Times New Roman"/>
          <w:color w:val="auto"/>
          <w:kern w:val="2"/>
          <w:sz w:val="21"/>
          <w:szCs w:val="20"/>
        </w:rPr>
      </w:pPr>
      <w:r>
        <w:rPr>
          <w:rFonts w:ascii="Times New Roman" w:eastAsia="宋体" w:cs="Times New Roman"/>
          <w:color w:val="auto"/>
          <w:kern w:val="2"/>
          <w:sz w:val="21"/>
          <w:szCs w:val="20"/>
        </w:rPr>
        <w:t xml:space="preserve">Autosomal dominant lateral temporal epilepsy </w:t>
      </w:r>
      <w:r>
        <w:rPr>
          <w:rFonts w:ascii="Times New Roman" w:eastAsia="宋体" w:cs="Times New Roman"/>
          <w:color w:val="auto"/>
          <w:kern w:val="2"/>
          <w:sz w:val="21"/>
          <w:szCs w:val="20"/>
        </w:rPr>
        <w:t>(ADLTE) is an inherited epilepsy syndrome caused by mutations in Lgi1 gene. It has been shown that glutamatergic transmission is altered in Lgi1-knockout mice and increased seizures can be reduced by restoring Lgi1 function. However, the underlying mechani</w:t>
      </w:r>
      <w:r>
        <w:rPr>
          <w:rFonts w:ascii="Times New Roman" w:eastAsia="宋体" w:cs="Times New Roman"/>
          <w:color w:val="auto"/>
          <w:kern w:val="2"/>
          <w:sz w:val="21"/>
          <w:szCs w:val="20"/>
        </w:rPr>
        <w:t>sm for ADLTE epilepsy is unclear. Here, we examined intrinsic excitability of pyramidal neurons in the temporal lobe cortex. We found that Kv1 channels were downregulated while cyclooxygenase 2 (Cox2) was elevated in Lgi1-knockout mice. Cox2 inhibition eff</w:t>
      </w:r>
      <w:r>
        <w:rPr>
          <w:rFonts w:ascii="Times New Roman" w:eastAsia="宋体" w:cs="Times New Roman"/>
          <w:color w:val="auto"/>
          <w:kern w:val="2"/>
          <w:sz w:val="21"/>
          <w:szCs w:val="20"/>
        </w:rPr>
        <w:t>ectively restored dysregulated voltage-gated potassium channels (Kv1) and reduced intrinsic excitability of pyramidal neurons. Interestingly, in vivo injection with celecoxib, a Food and Drug Administration-approved therapeutic, rescued defective Kv1.2, am</w:t>
      </w:r>
      <w:r>
        <w:rPr>
          <w:rFonts w:ascii="Times New Roman" w:eastAsia="宋体" w:cs="Times New Roman"/>
          <w:color w:val="auto"/>
          <w:kern w:val="2"/>
          <w:sz w:val="21"/>
          <w:szCs w:val="20"/>
        </w:rPr>
        <w:t xml:space="preserve">eliorated increased neuronal excitability and seizure susceptibility in Lgi1-knockout mice. Together, we propose that Cox2 is a therapeutic target to suppress </w:t>
      </w:r>
      <w:proofErr w:type="spellStart"/>
      <w:r>
        <w:rPr>
          <w:rFonts w:ascii="Times New Roman" w:eastAsia="宋体" w:cs="Times New Roman"/>
          <w:color w:val="auto"/>
          <w:kern w:val="2"/>
          <w:sz w:val="21"/>
          <w:szCs w:val="20"/>
        </w:rPr>
        <w:t>epileptogenesis</w:t>
      </w:r>
      <w:proofErr w:type="spellEnd"/>
      <w:r>
        <w:rPr>
          <w:rFonts w:ascii="Times New Roman" w:eastAsia="宋体" w:cs="Times New Roman"/>
          <w:color w:val="auto"/>
          <w:kern w:val="2"/>
          <w:sz w:val="21"/>
          <w:szCs w:val="20"/>
        </w:rPr>
        <w:t xml:space="preserve"> in ADLTE patients.</w:t>
      </w:r>
    </w:p>
    <w:p w14:paraId="05088B2C" w14:textId="77777777" w:rsidR="008E545A" w:rsidRDefault="000B179E">
      <w:pPr>
        <w:pStyle w:val="Default"/>
        <w:spacing w:line="20" w:lineRule="atLeast"/>
        <w:rPr>
          <w:b/>
          <w:sz w:val="28"/>
          <w:szCs w:val="28"/>
        </w:rPr>
      </w:pPr>
      <w:r>
        <w:rPr>
          <w:rFonts w:ascii="Times New Roman" w:eastAsia="宋体" w:cs="Times New Roman"/>
          <w:b/>
          <w:color w:val="auto"/>
          <w:kern w:val="2"/>
        </w:rPr>
        <w:t>Key words:</w:t>
      </w:r>
      <w:r>
        <w:rPr>
          <w:rFonts w:ascii="Times New Roman" w:eastAsia="宋体" w:cs="Times New Roman"/>
          <w:b/>
          <w:color w:val="auto"/>
          <w:kern w:val="2"/>
          <w:sz w:val="21"/>
          <w:szCs w:val="20"/>
        </w:rPr>
        <w:t xml:space="preserve"> </w:t>
      </w:r>
      <w:r>
        <w:rPr>
          <w:rFonts w:ascii="Times New Roman" w:eastAsia="宋体" w:cs="Times New Roman"/>
          <w:color w:val="auto"/>
          <w:kern w:val="2"/>
          <w:sz w:val="21"/>
          <w:szCs w:val="20"/>
        </w:rPr>
        <w:t>ADLTE; Cox2; epilepsy; potassium channel; celecoxib</w:t>
      </w:r>
      <w:r>
        <w:commentReference w:id="3"/>
      </w:r>
    </w:p>
    <w:p w14:paraId="33CFD95F" w14:textId="77777777" w:rsidR="000B179E" w:rsidRPr="000B179E" w:rsidRDefault="000B179E">
      <w:pPr>
        <w:spacing w:beforeLines="100" w:before="312" w:line="276" w:lineRule="auto"/>
        <w:ind w:rightChars="10" w:right="2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个人简介</w:t>
      </w:r>
      <w:r>
        <w:commentReference w:id="4"/>
      </w:r>
      <w:r>
        <w:rPr>
          <w:rFonts w:hint="eastAsia"/>
          <w:b/>
          <w:sz w:val="24"/>
        </w:rPr>
        <w:t>（请附上照片）</w:t>
      </w:r>
      <w:r>
        <w:rPr>
          <w:rFonts w:hint="eastAsia"/>
          <w:b/>
          <w:sz w:val="24"/>
        </w:rPr>
        <w:t>：</w:t>
      </w:r>
    </w:p>
    <w:p w14:paraId="47D2E8CE" w14:textId="77777777" w:rsidR="008E545A" w:rsidRDefault="000B179E">
      <w:pPr>
        <w:spacing w:line="276" w:lineRule="auto"/>
        <w:ind w:rightChars="12" w:right="25"/>
      </w:pPr>
      <w:r>
        <w:rPr>
          <w:rFonts w:hint="eastAsia"/>
        </w:rPr>
        <w:t>沈颖，浙江大学教授，博士生导师。教育部新世纪优秀人才。自然出版集团子刊</w:t>
      </w:r>
      <w:r>
        <w:t>Scientific Reports</w:t>
      </w:r>
      <w:r>
        <w:rPr>
          <w:rFonts w:hint="eastAsia"/>
        </w:rPr>
        <w:t>、</w:t>
      </w:r>
      <w:r>
        <w:t>Cerebellum</w:t>
      </w:r>
      <w:r>
        <w:rPr>
          <w:rFonts w:hint="eastAsia"/>
        </w:rPr>
        <w:t>和</w:t>
      </w:r>
      <w:r>
        <w:t>Neurochemistry International</w:t>
      </w:r>
      <w:r>
        <w:rPr>
          <w:rFonts w:hint="eastAsia"/>
        </w:rPr>
        <w:t>杂志的审稿编辑。在神经信息传递的三个重要层次，即突触传递和可塑性、转运体功能和调节机制、髓鞘发育和轴突传递，开展了系统研究，发现了影响神经信息传递、整合和功能的多个重要分子和机制。作为通讯作者和第一作者在</w:t>
      </w:r>
      <w:r>
        <w:t xml:space="preserve">Nature Neuroscience, Neuron, PNAS, J </w:t>
      </w:r>
      <w:proofErr w:type="spellStart"/>
      <w:r>
        <w:t>Neurosci</w:t>
      </w:r>
      <w:proofErr w:type="spellEnd"/>
      <w:r>
        <w:t>, G</w:t>
      </w:r>
      <w:r>
        <w:t>lia</w:t>
      </w:r>
      <w:r>
        <w:rPr>
          <w:rFonts w:hint="eastAsia"/>
        </w:rPr>
        <w:t>等国际顶尖杂志上发表研究论文。近年来发表通讯作者论文</w:t>
      </w:r>
      <w:r>
        <w:t>18</w:t>
      </w:r>
      <w:r>
        <w:rPr>
          <w:rFonts w:hint="eastAsia"/>
        </w:rPr>
        <w:t>篇，包括</w:t>
      </w:r>
      <w:r>
        <w:t>J</w:t>
      </w:r>
      <w:bookmarkStart w:id="5" w:name="_GoBack"/>
      <w:bookmarkEnd w:id="5"/>
      <w:r>
        <w:t xml:space="preserve"> </w:t>
      </w:r>
      <w:proofErr w:type="spellStart"/>
      <w:r>
        <w:t>Neurosci</w:t>
      </w:r>
      <w:proofErr w:type="spellEnd"/>
      <w:r>
        <w:rPr>
          <w:rFonts w:hint="eastAsia"/>
        </w:rPr>
        <w:t>和</w:t>
      </w:r>
      <w:r>
        <w:t>PNAS</w:t>
      </w:r>
      <w:r>
        <w:rPr>
          <w:rFonts w:hint="eastAsia"/>
        </w:rPr>
        <w:t>。多次获国家自然科学基金，科技部</w:t>
      </w:r>
      <w:r>
        <w:t>973</w:t>
      </w:r>
      <w:r>
        <w:rPr>
          <w:rFonts w:hint="eastAsia"/>
        </w:rPr>
        <w:t>和重大科学研究计划，教育部新世纪人才，省基金人才和重点项目资助。主要研究方向：</w:t>
      </w:r>
      <w:r>
        <w:t>1</w:t>
      </w:r>
      <w:r>
        <w:rPr>
          <w:rFonts w:hint="eastAsia"/>
        </w:rPr>
        <w:t>）神经突触传递和可塑性的细胞分子机制及疾病；</w:t>
      </w:r>
      <w:r>
        <w:t>2</w:t>
      </w:r>
      <w:r>
        <w:rPr>
          <w:rFonts w:hint="eastAsia"/>
        </w:rPr>
        <w:t>）神经髓鞘发育及脱髓鞘疾病的机制。</w:t>
      </w:r>
      <w:r>
        <w:commentReference w:id="6"/>
      </w:r>
    </w:p>
    <w:p w14:paraId="0139F1C5" w14:textId="77777777" w:rsidR="008E545A" w:rsidRDefault="000B179E">
      <w:pPr>
        <w:spacing w:line="276" w:lineRule="auto"/>
        <w:ind w:rightChars="12" w:right="2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联系方式：浙江省杭州市浙江大学紫金港校区医学院科研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楼</w:t>
      </w:r>
      <w:r>
        <w:rPr>
          <w:rFonts w:ascii="宋体" w:hAnsi="宋体"/>
          <w:szCs w:val="21"/>
        </w:rPr>
        <w:t>515</w:t>
      </w:r>
      <w:r>
        <w:rPr>
          <w:rFonts w:ascii="宋体" w:hAnsi="宋体" w:hint="eastAsia"/>
          <w:szCs w:val="21"/>
        </w:rPr>
        <w:t>房间</w:t>
      </w:r>
    </w:p>
    <w:p w14:paraId="26FCB842" w14:textId="77777777" w:rsidR="008E545A" w:rsidRDefault="000B179E">
      <w:pPr>
        <w:widowControl/>
        <w:spacing w:line="276" w:lineRule="auto"/>
        <w:jc w:val="left"/>
        <w:rPr>
          <w:rFonts w:ascii="Cambria" w:hAnsi="Cambr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Cs w:val="21"/>
        </w:rPr>
        <w:t>电话：</w:t>
      </w:r>
      <w:r>
        <w:rPr>
          <w:rFonts w:ascii="宋体" w:hAnsi="宋体"/>
          <w:color w:val="000000"/>
          <w:szCs w:val="21"/>
        </w:rPr>
        <w:t>0571-88208240</w:t>
      </w:r>
    </w:p>
    <w:p w14:paraId="48357D77" w14:textId="77777777" w:rsidR="008E545A" w:rsidRDefault="000B179E">
      <w:pPr>
        <w:spacing w:line="276" w:lineRule="auto"/>
        <w:ind w:rightChars="12" w:right="2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近期代表性论文</w:t>
      </w:r>
      <w:r>
        <w:rPr>
          <w:rFonts w:ascii="宋体" w:hAnsi="宋体" w:hint="eastAsia"/>
          <w:color w:val="000000"/>
          <w:szCs w:val="21"/>
        </w:rPr>
        <w:t>（限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篇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：</w:t>
      </w:r>
    </w:p>
    <w:p w14:paraId="471B1A21" w14:textId="77777777" w:rsidR="008E545A" w:rsidRDefault="000B179E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Zhou L, Yang D, Wang DJ, </w:t>
      </w:r>
      <w:proofErr w:type="spellStart"/>
      <w:r>
        <w:rPr>
          <w:szCs w:val="20"/>
        </w:rPr>
        <w:t>Xie</w:t>
      </w:r>
      <w:proofErr w:type="spellEnd"/>
      <w:r>
        <w:rPr>
          <w:szCs w:val="20"/>
        </w:rPr>
        <w:t xml:space="preserve"> YJ, Zhou JH, Zhou L, Huang H, Han S, Shao CY, Li HS, Zhu JJ, </w:t>
      </w:r>
      <w:proofErr w:type="spellStart"/>
      <w:r>
        <w:rPr>
          <w:szCs w:val="20"/>
        </w:rPr>
        <w:t>Qiu</w:t>
      </w:r>
      <w:proofErr w:type="spellEnd"/>
      <w:r>
        <w:rPr>
          <w:szCs w:val="20"/>
        </w:rPr>
        <w:t xml:space="preserve"> MS, De </w:t>
      </w:r>
      <w:proofErr w:type="spellStart"/>
      <w:r>
        <w:rPr>
          <w:szCs w:val="20"/>
        </w:rPr>
        <w:t>Zeeuw</w:t>
      </w:r>
      <w:proofErr w:type="spellEnd"/>
      <w:r>
        <w:rPr>
          <w:szCs w:val="20"/>
        </w:rPr>
        <w:t xml:space="preserve"> CI*, </w:t>
      </w:r>
      <w:r>
        <w:rPr>
          <w:b/>
          <w:bCs/>
          <w:szCs w:val="20"/>
        </w:rPr>
        <w:t>Shen Y</w:t>
      </w:r>
      <w:r>
        <w:rPr>
          <w:szCs w:val="20"/>
        </w:rPr>
        <w:t xml:space="preserve">*. Numb deficiency in cerebellar Purkinje cells impairs synaptic expression of metabotropic glutamate receptor and motor coordination. </w:t>
      </w:r>
      <w:r>
        <w:rPr>
          <w:b/>
          <w:bCs/>
          <w:i/>
          <w:iCs/>
          <w:szCs w:val="20"/>
        </w:rPr>
        <w:t>Pro</w:t>
      </w:r>
      <w:r>
        <w:rPr>
          <w:b/>
          <w:bCs/>
          <w:i/>
          <w:iCs/>
          <w:szCs w:val="20"/>
        </w:rPr>
        <w:t xml:space="preserve">c Natl </w:t>
      </w:r>
      <w:proofErr w:type="spellStart"/>
      <w:r>
        <w:rPr>
          <w:b/>
          <w:bCs/>
          <w:i/>
          <w:iCs/>
          <w:szCs w:val="20"/>
        </w:rPr>
        <w:t>Acad</w:t>
      </w:r>
      <w:proofErr w:type="spellEnd"/>
      <w:r>
        <w:rPr>
          <w:b/>
          <w:bCs/>
          <w:i/>
          <w:iCs/>
          <w:szCs w:val="20"/>
        </w:rPr>
        <w:t xml:space="preserve"> Sci USA 2015</w:t>
      </w:r>
      <w:r>
        <w:rPr>
          <w:szCs w:val="20"/>
        </w:rPr>
        <w:t>; 112(50):15474-15479.</w:t>
      </w:r>
    </w:p>
    <w:p w14:paraId="75C648B0" w14:textId="77777777" w:rsidR="008E545A" w:rsidRDefault="000B179E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Wang YN, Zhou L, Wang Z, Li YC, Zhang YW, Wang Y, Liu G, Li YH, </w:t>
      </w:r>
      <w:r>
        <w:rPr>
          <w:b/>
          <w:bCs/>
          <w:szCs w:val="20"/>
        </w:rPr>
        <w:t>Shen Y</w:t>
      </w:r>
      <w:r>
        <w:rPr>
          <w:szCs w:val="20"/>
        </w:rPr>
        <w:t>*. Protein interacting with C-kinase 1 deficiency impairs glutathione synthesis and increases oxidative stress via reduction of surface exc</w:t>
      </w:r>
      <w:r>
        <w:rPr>
          <w:szCs w:val="20"/>
        </w:rPr>
        <w:t xml:space="preserve">itatory amino acid carrier 1. </w:t>
      </w:r>
      <w:r>
        <w:rPr>
          <w:b/>
          <w:bCs/>
          <w:i/>
          <w:iCs/>
          <w:szCs w:val="20"/>
        </w:rPr>
        <w:t xml:space="preserve">J </w:t>
      </w:r>
      <w:proofErr w:type="spellStart"/>
      <w:r>
        <w:rPr>
          <w:b/>
          <w:bCs/>
          <w:i/>
          <w:iCs/>
          <w:szCs w:val="20"/>
        </w:rPr>
        <w:t>Neurosci</w:t>
      </w:r>
      <w:proofErr w:type="spellEnd"/>
      <w:r>
        <w:rPr>
          <w:szCs w:val="20"/>
        </w:rPr>
        <w:t xml:space="preserve"> 2015; 35(16):6429-6443.</w:t>
      </w:r>
      <w:r>
        <w:commentReference w:id="7"/>
      </w:r>
    </w:p>
    <w:sectPr w:rsidR="008E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" w:date="2017-01-19T16:36:00Z" w:initials="A">
    <w:p w14:paraId="3DED7B2C" w14:textId="77777777" w:rsidR="008E545A" w:rsidRDefault="000B179E">
      <w:pPr>
        <w:pStyle w:val="a3"/>
      </w:pPr>
      <w:r>
        <w:rPr>
          <w:rFonts w:hint="eastAsia"/>
        </w:rPr>
        <w:t>报告题目，</w:t>
      </w:r>
      <w:r>
        <w:rPr>
          <w:rFonts w:hint="eastAsia"/>
        </w:rPr>
        <w:t>Times New Roman</w:t>
      </w:r>
      <w:r>
        <w:rPr>
          <w:rFonts w:hint="eastAsia"/>
        </w:rPr>
        <w:t>三号</w:t>
      </w:r>
    </w:p>
  </w:comment>
  <w:comment w:id="1" w:author="Admin" w:date="2017-01-19T16:37:00Z" w:initials="A">
    <w:p w14:paraId="5A9B17E8" w14:textId="77777777" w:rsidR="008E545A" w:rsidRDefault="000B179E">
      <w:pPr>
        <w:pStyle w:val="a3"/>
      </w:pPr>
      <w:r>
        <w:rPr>
          <w:rFonts w:hint="eastAsia"/>
        </w:rPr>
        <w:t>作者姓名，</w:t>
      </w:r>
      <w:r>
        <w:rPr>
          <w:rFonts w:hint="eastAsia"/>
        </w:rPr>
        <w:t>Times New Roman</w:t>
      </w:r>
      <w:r>
        <w:rPr>
          <w:rFonts w:hint="eastAsia"/>
        </w:rPr>
        <w:t>五号</w:t>
      </w:r>
    </w:p>
  </w:comment>
  <w:comment w:id="2" w:author="Admin" w:date="2017-01-19T16:38:00Z" w:initials="A">
    <w:p w14:paraId="0AF0FFB8" w14:textId="77777777" w:rsidR="008E545A" w:rsidRDefault="000B179E">
      <w:pPr>
        <w:pStyle w:val="a3"/>
      </w:pPr>
      <w:r>
        <w:rPr>
          <w:rFonts w:hint="eastAsia"/>
        </w:rPr>
        <w:t>Times New Roman</w:t>
      </w:r>
      <w:r>
        <w:rPr>
          <w:rFonts w:hint="eastAsia"/>
        </w:rPr>
        <w:t>小四</w:t>
      </w:r>
    </w:p>
  </w:comment>
  <w:comment w:id="3" w:author="Admin" w:date="2017-01-19T16:39:00Z" w:initials="A">
    <w:p w14:paraId="5A8EE08D" w14:textId="77777777" w:rsidR="008E545A" w:rsidRDefault="000B179E">
      <w:pPr>
        <w:pStyle w:val="a3"/>
      </w:pPr>
      <w:r>
        <w:rPr>
          <w:rFonts w:hint="eastAsia"/>
        </w:rPr>
        <w:t>摘要内容</w:t>
      </w:r>
      <w:r>
        <w:rPr>
          <w:rFonts w:hint="eastAsia"/>
        </w:rPr>
        <w:t>Times New Roman</w:t>
      </w:r>
      <w:r>
        <w:rPr>
          <w:rFonts w:hint="eastAsia"/>
        </w:rPr>
        <w:t>五号</w:t>
      </w:r>
    </w:p>
  </w:comment>
  <w:comment w:id="4" w:author="Admin" w:date="2017-01-19T16:39:00Z" w:initials="A">
    <w:p w14:paraId="36496F98" w14:textId="77777777" w:rsidR="008E545A" w:rsidRDefault="000B179E">
      <w:pPr>
        <w:pStyle w:val="a3"/>
      </w:pPr>
      <w:r>
        <w:rPr>
          <w:rFonts w:hint="eastAsia"/>
        </w:rPr>
        <w:t>宋体，小四</w:t>
      </w:r>
    </w:p>
  </w:comment>
  <w:comment w:id="6" w:author="Admin" w:date="2017-01-19T16:40:00Z" w:initials="A">
    <w:p w14:paraId="3A4AE30D" w14:textId="77777777" w:rsidR="008E545A" w:rsidRDefault="000B179E">
      <w:pPr>
        <w:pStyle w:val="a3"/>
      </w:pPr>
      <w:r>
        <w:rPr>
          <w:rFonts w:hint="eastAsia"/>
        </w:rPr>
        <w:t>宋体五号</w:t>
      </w:r>
    </w:p>
  </w:comment>
  <w:comment w:id="7" w:author="Admin" w:date="2017-01-19T16:40:00Z" w:initials="A">
    <w:p w14:paraId="65F5327A" w14:textId="77777777" w:rsidR="008E545A" w:rsidRDefault="000B179E">
      <w:pPr>
        <w:pStyle w:val="a3"/>
      </w:pPr>
      <w:r>
        <w:rPr>
          <w:rFonts w:hint="eastAsia"/>
        </w:rPr>
        <w:t>Times New Roman</w:t>
      </w:r>
      <w:r>
        <w:rPr>
          <w:rFonts w:hint="eastAsia"/>
        </w:rPr>
        <w:t>五号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ED7B2C" w15:done="0"/>
  <w15:commentEx w15:paraId="5A9B17E8" w15:done="0"/>
  <w15:commentEx w15:paraId="0AF0FFB8" w15:done="0"/>
  <w15:commentEx w15:paraId="5A8EE08D" w15:done="0"/>
  <w15:commentEx w15:paraId="36496F98" w15:done="0"/>
  <w15:commentEx w15:paraId="3A4AE30D" w15:done="0"/>
  <w15:commentEx w15:paraId="65F532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PGGA N+ Adv PS A 35 F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24AE4"/>
    <w:multiLevelType w:val="multilevel"/>
    <w:tmpl w:val="50D24AE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6A8"/>
    <w:rsid w:val="00031303"/>
    <w:rsid w:val="000920EE"/>
    <w:rsid w:val="000B179E"/>
    <w:rsid w:val="001052CB"/>
    <w:rsid w:val="00137126"/>
    <w:rsid w:val="00274A20"/>
    <w:rsid w:val="002B1CD8"/>
    <w:rsid w:val="003564A5"/>
    <w:rsid w:val="003D2592"/>
    <w:rsid w:val="003D43DB"/>
    <w:rsid w:val="003E1FBA"/>
    <w:rsid w:val="004B39EF"/>
    <w:rsid w:val="005843A3"/>
    <w:rsid w:val="005F41E6"/>
    <w:rsid w:val="00695429"/>
    <w:rsid w:val="007D565B"/>
    <w:rsid w:val="007D6C77"/>
    <w:rsid w:val="00814B50"/>
    <w:rsid w:val="008E545A"/>
    <w:rsid w:val="00945483"/>
    <w:rsid w:val="00966B87"/>
    <w:rsid w:val="00A17201"/>
    <w:rsid w:val="00A34720"/>
    <w:rsid w:val="00B44C37"/>
    <w:rsid w:val="00CD06A8"/>
    <w:rsid w:val="00E07C93"/>
    <w:rsid w:val="00E815B1"/>
    <w:rsid w:val="00ED7D3E"/>
    <w:rsid w:val="00F4251F"/>
    <w:rsid w:val="00F44E01"/>
    <w:rsid w:val="00FE5529"/>
    <w:rsid w:val="201828EB"/>
    <w:rsid w:val="396B1CD8"/>
    <w:rsid w:val="526D0890"/>
    <w:rsid w:val="78F4685F"/>
    <w:rsid w:val="796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89F2E"/>
  <w15:docId w15:val="{9B0427F4-DDB8-49D4-A749-ED741FF5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页眉 字符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ab">
    <w:name w:val="标题 字符"/>
    <w:link w:val="aa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LPGGA N+ Adv PS A 35 F" w:eastAsia="LPGGA N+ Adv PS A 35 F" w:hAnsi="Times New Roman" w:cs="LPGGA N+ Adv PS A 35 F"/>
      <w:color w:val="000000"/>
      <w:sz w:val="24"/>
      <w:szCs w:val="24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0"/>
      <w:szCs w:val="0"/>
    </w:rPr>
  </w:style>
  <w:style w:type="paragraph" w:customStyle="1" w:styleId="1">
    <w:name w:val="修订1"/>
    <w:hidden/>
    <w:uiPriority w:val="99"/>
    <w:unhideWhenUsed/>
    <w:rPr>
      <w:rFonts w:ascii="Times New Roman" w:hAnsi="Times New Roman"/>
      <w:kern w:val="2"/>
      <w:sz w:val="21"/>
      <w:szCs w:val="24"/>
    </w:rPr>
  </w:style>
  <w:style w:type="character" w:styleId="ac">
    <w:name w:val="annotation reference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Cox2 Inhibition Ameliorates Seizure Susceptibility in a Mouse Model of Autosomal Dominant Lateral Temporal Epilepsy</dc:title>
  <dc:creator>muyeye</dc:creator>
  <cp:lastModifiedBy>c y</cp:lastModifiedBy>
  <cp:revision>12</cp:revision>
  <dcterms:created xsi:type="dcterms:W3CDTF">2016-04-26T15:16:00Z</dcterms:created>
  <dcterms:modified xsi:type="dcterms:W3CDTF">2021-05-13T08:29:00Z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